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539 HGB — Haftung des Beförderers für Gepäck- und Verspätungsschäden</w:t>
      </w:r>
    </w:p>
    <w:p>
      <w:r>
        <w:rPr>
          <w:color w:val="555555"/>
          <w:sz w:val="18"/>
        </w:rPr>
        <w:t xml:space="preserve">Handelsgesetzbuch</w:t>
      </w:r>
    </w:p>
    <w:p>
      <w:r>
        <w:rPr>
          <w:color w:val="555555"/>
          <w:sz w:val="18"/>
        </w:rPr>
        <w:t xml:space="preserve">Stand: 10.06.2019 (konsolidierte Textfassung, kein amtliches Inkrafttretensdatum)</w:t>
      </w:r>
    </w:p>
    <w:p>
      <w:r>
        <w:t xml:space="preserve">(1) Der Beförderer haftet für den Schaden, der durch Verlust oder Beschädigung von Kabinengepäck oder von anderem Gepäck entsteht, wenn das den Schaden verursachende Ereignis während der Beförderung eingetreten ist und auf einem Verschulden des Beförderers beruht. Bei Verlust oder Beschädigung von Kabinengepäck auf Grund eines Schifffahrtsereignisses und bei Verlust oder Beschädigung anderen Gepäcks wird das Verschulden vermutet.</w:t>
      </w:r>
    </w:p>
    <w:p>
      <w:r>
        <w:t xml:space="preserve">(2) Der Beförderer haftet entsprechend Absatz 1 auch für den Schaden, der daraus entsteht, dass das Gepäck dem Fahrgast nicht innerhalb einer angemessenen Frist nach Ankunft des Schiffes, auf dem das Gepäck befördert worden ist oder hätte befördert werden sollen, wieder ausgehändigt worden ist. Die Haftung ist jedoch ausgeschlossen, wenn die verspätete Aushändigung auf Arbeitsstreitigkeiten zurückzuführen ist.</w:t>
      </w:r>
    </w:p>
    <w:p>
      <w:r>
        <w:t xml:space="preserve">(3) Abweichend von den Absätzen 1 und 2 haftet der Beförderer nicht für den Schaden, der durch Verlust, Beschädigung oder verspätete Aushändigung von Geld, begebbaren Wertpapieren, Gold, Silber, Juwelen, Schmuck, Kunstgegenständen oder sonstigen Wertsachen entsteht, es sei denn, dass solche Wertsachen bei dem Beförderer zur sicheren Aufbewahrung hinterlegt worden sind.</w:t>
      </w:r>
    </w:p>
    <w:p>
      <w:r>
        <w:t xml:space="preserve">(4) Die Beförderung im Sinne des Absatzes 1 umfasst folgende Zeiträume:</w:t>
      </w:r>
    </w:p>
    <w:p>
      <w:pPr>
        <w:ind w:left="420"/>
      </w:pPr>
      <w:r>
        <w:t xml:space="preserve">1. hinsichtlich des Kabinengepäcks mit Ausnahme des Gepäcks, das der Fahrgast in oder auf seinem Fahrzeug hat,</w:t>
      </w:r>
    </w:p>
    <w:p>
      <w:pPr>
        <w:ind w:left="780"/>
      </w:pPr>
      <w:r>
        <w:t xml:space="preserve">a) den Zeitraum, in dem sich das Kabinengepäck an Bord des Schiffes befindet, einschließlich des Zeitraums, in dem das Kabinengepäck ein- und ausgeschifft wird,</w:t>
      </w:r>
    </w:p>
    <w:p>
      <w:pPr>
        <w:ind w:left="780"/>
      </w:pPr>
      <w:r>
        <w:t xml:space="preserve">b) den Zeitraum, in dem das Kabinengepäck auf dem Wasserweg vom Land auf das Schiff oder umgekehrt befördert wird, wenn die Kosten dieser Beförderung im Beförderungspreis inbegriffen sind oder wenn das für diese zusätzliche Beförderung benutzte Wasserfahrzeug dem Fahrgast vom Beförderer zur Verfügung gestellt worden ist, sowie</w:t>
      </w:r>
    </w:p>
    <w:p>
      <w:pPr>
        <w:ind w:left="780"/>
      </w:pPr>
      <w:r>
        <w:t xml:space="preserve">c) den Zeitraum, in dem sich der Fahrgast in einer Hafenstation, auf einem Kai oder in oder auf einer anderen Hafenanlage befindet, wenn das Kabinengepäck von dem Beförderer oder seinen Bediensteten oder Beauftragten übernommen und dem Fahrgast nicht wieder ausgehändigt worden ist;</w:t>
      </w:r>
    </w:p>
    <w:p>
      <w:pPr>
        <w:ind w:left="420"/>
      </w:pPr>
      <w:r>
        <w:t xml:space="preserve">2. hinsichtlich anderen Gepäcks als des in Nummer 1 genannten Kabinengepäcks den Zeitraum von der Übernahme durch den Beförderer an Land oder an Bord bis zur Wiederaushändigung.</w:t>
      </w:r>
    </w:p>
    <w:p>
      <w:r>
        <w:rPr>
          <w:color w:val="555555"/>
          <w:sz w:val="17"/>
        </w:rPr>
        <w:t xml:space="preserve">Zitiervorschlag: § 539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