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534 HGB — Kündigung durch den Verfrachter</w:t>
      </w:r>
    </w:p>
    <w:p>
      <w:r>
        <w:rPr>
          <w:color w:val="555555"/>
          <w:sz w:val="18"/>
        </w:rPr>
        <w:t xml:space="preserve">Handelsgesetzbuch</w:t>
      </w:r>
    </w:p>
    <w:p>
      <w:r>
        <w:rPr>
          <w:color w:val="555555"/>
          <w:sz w:val="18"/>
        </w:rPr>
        <w:t xml:space="preserve">Stand: 10.06.2019 (konsolidierte Textfassung, kein amtliches Inkrafttretensdatum)</w:t>
      </w:r>
    </w:p>
    <w:p>
      <w:r>
        <w:t xml:space="preserve">(1) Verlädt der Befrachter kein Gut innerhalb der Ladezeit und einer vereinbarten Überliegezeit oder wird, wenn dem Befrachter die Verladung nicht obliegt, kein Gut innerhalb dieser Zeit abgeladen, so kann der Verfrachter den Vertrag nach Maßgabe des § 490 kündigen und die Ansprüche nach § 489 Absatz 2 in Verbindung mit § 532 Absatz 2 geltend machen.</w:t>
      </w:r>
    </w:p>
    <w:p>
      <w:r>
        <w:t xml:space="preserve">(2) Der Verfrachter kann den Vertrag bereits vor Ablauf der Ladezeit und einer vereinbarten Überliegezeit nach Maßgabe des § 490 kündigen, wenn offensichtlich ist, dass das Gut nicht verladen oder abgeladen wird.</w:t>
      </w:r>
    </w:p>
    <w:p>
      <w:r>
        <w:rPr>
          <w:color w:val="555555"/>
          <w:sz w:val="17"/>
        </w:rPr>
        <w:t xml:space="preserve">Zitiervorschlag: § 534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https://recht.nulegal.eu/gesetze/HGB/534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534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