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532 HGB — Kündigung durch den Befrachter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Befrachter kann den Reisefrachtvertrag jederzeit kündigen.</w:t>
      </w:r>
    </w:p>
    <w:p>
      <w:r>
        <w:t xml:space="preserve">(2) Kündigt der Befrachter, so kann der Verfrachter, wenn er einen Anspruch nach § 489 Absatz 2 Satz 1 Nummer 1 geltend macht, auch ein etwaiges Liegegeld verlangen.</w:t>
      </w:r>
    </w:p>
    <w:p>
      <w:r>
        <w:rPr>
          <w:color w:val="555555"/>
          <w:sz w:val="17"/>
        </w:rPr>
        <w:t xml:space="preserve">Zitiervorschlag: § 532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