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HGB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Erteilung der Prokura ist von dem Inhaber des Handelsgeschäfts zur Eintragung in das Handelsregister anzumelden. Ist die Prokura als Gesamtprokura erteilt, so muß auch dies zur Eintragung angemeldet werden.</w:t>
      </w:r>
    </w:p>
    <w:p>
      <w:r>
        <w:t xml:space="preserve">(2) Das Erlöschen der Prokura ist in gleicher Weise wie die Erteilung zur Eintragung anzumelden.</w:t>
      </w:r>
    </w:p>
    <w:p>
      <w:r>
        <w:rPr>
          <w:color w:val="555555"/>
          <w:sz w:val="17"/>
        </w:rPr>
        <w:t xml:space="preserve">Zitiervorschlag: § 53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https://recht.nulegal.eu/gesetze/HGB/53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