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529 HGB — Anzeige der Ladebereitschaft</w:t>
      </w:r>
    </w:p>
    <w:p>
      <w:r>
        <w:rPr>
          <w:color w:val="555555"/>
          <w:sz w:val="18"/>
        </w:rPr>
        <w:t xml:space="preserve">Handelsgesetzbuch</w:t>
      </w:r>
    </w:p>
    <w:p>
      <w:r>
        <w:rPr>
          <w:color w:val="555555"/>
          <w:sz w:val="18"/>
        </w:rPr>
        <w:t xml:space="preserve">Stand: 10.06.2019 (konsolidierte Textfassung, kein amtliches Inkrafttretensdatum)</w:t>
      </w:r>
    </w:p>
    <w:p>
      <w:r>
        <w:t xml:space="preserve">(1) Der Verfrachter hat, sobald das Schiff am Ladeplatz zur Einnahme des Gutes bereit ist, dem Befrachter die Ladebereitschaft anzuzeigen. Hat der Befrachter den Ladeplatz noch zu benennen, kann der Verfrachter die Ladebereitschaft bereits anzeigen, wenn das Schiff den Ladehafen erreicht hat.</w:t>
      </w:r>
    </w:p>
    <w:p>
      <w:r>
        <w:t xml:space="preserve">(2) Die Ladebereitschaft muss während der am Ladeplatz üblichen Geschäftsstunden angezeigt werden. Wird die Ladebereitschaft außerhalb der ortsüblichen Geschäftsstunden angezeigt, so gilt die Anzeige mit Beginn der auf sie folgenden ortsüblichen Geschäftsstunde als zugegangen.</w:t>
      </w:r>
    </w:p>
    <w:p>
      <w:r>
        <w:rPr>
          <w:color w:val="555555"/>
          <w:sz w:val="17"/>
        </w:rPr>
        <w:t xml:space="preserve">Zitiervorschlag: § 529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