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528 HGB — Ladehafen. Ladeplatz</w:t>
      </w:r>
    </w:p>
    <w:p>
      <w:r>
        <w:rPr>
          <w:color w:val="555555"/>
          <w:sz w:val="18"/>
        </w:rPr>
        <w:t xml:space="preserve">Handelsgesetzbuch</w:t>
      </w:r>
    </w:p>
    <w:p>
      <w:r>
        <w:rPr>
          <w:color w:val="555555"/>
          <w:sz w:val="18"/>
        </w:rPr>
        <w:t xml:space="preserve">Stand: 10.06.2019 (konsolidierte Textfassung, kein amtliches Inkrafttretensdatum)</w:t>
      </w:r>
    </w:p>
    <w:p>
      <w:r>
        <w:t xml:space="preserve">(1) Der Verfrachter hat das Schiff zur Einnahme des Gutes an den im Reisefrachtvertrag benannten oder an den vom Befrachter nach Abschluss des Reisefrachtvertrags zu benennenden Ladeplatz hinzulegen.</w:t>
      </w:r>
    </w:p>
    <w:p>
      <w:r>
        <w:t xml:space="preserve">(2) Ist ein Ladehafen oder ein Ladeplatz im Reisefrachtvertrag nicht benannt und hat der Befrachter den Ladehafen oder Ladeplatz nach Abschluss des Reisefrachtvertrags zu benennen, so muss er mit der gebotenen Sorgfalt einen sicheren Ladehafen oder Ladeplatz auswählen.</w:t>
      </w:r>
    </w:p>
    <w:p>
      <w:r>
        <w:rPr>
          <w:color w:val="555555"/>
          <w:sz w:val="17"/>
        </w:rPr>
        <w:t xml:space="preserve">Zitiervorschlag: § 528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528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