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524 HGB — Traditionswirkung des Konnossements</w:t>
      </w:r>
    </w:p>
    <w:p>
      <w:r>
        <w:rPr>
          <w:color w:val="555555"/>
          <w:sz w:val="18"/>
        </w:rPr>
        <w:t xml:space="preserve">Handelsgesetzbuch</w:t>
      </w:r>
    </w:p>
    <w:p>
      <w:r>
        <w:rPr>
          <w:color w:val="555555"/>
          <w:sz w:val="18"/>
        </w:rPr>
        <w:t xml:space="preserve">Stand: 10.06.2019 (konsolidierte Textfassung, kein amtliches Inkrafttretensdatum)</w:t>
      </w:r>
    </w:p>
    <w:p>
      <w:r>
        <w:t xml:space="preserve">Die Begebung des Konnossements an den darin benannten Empfänger hat, sofern der Verfrachter das Gut im Besitz hat, für den Erwerb von Rechten an dem Gut dieselben Wirkungen wie die Übergabe des Gutes. Gleiches gilt für die Übertragung des Konnossements an Dritte.</w:t>
      </w:r>
    </w:p>
    <w:p>
      <w:r>
        <w:rPr>
          <w:color w:val="555555"/>
          <w:sz w:val="17"/>
        </w:rPr>
        <w:t xml:space="preserve">Zitiervorschlag: § 524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https://recht.nulegal.eu/gesetze/HGB/524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524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