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Prokura ist ohne Rücksicht auf das der Erteilung zugrunde liegende Rechtsverhältnis jederzeit widerruflich, unbeschadet des Anspruchs auf die vertragsmäßige Vergütung.</w:t>
      </w:r>
    </w:p>
    <w:p>
      <w:r>
        <w:t xml:space="preserve">(2) Die Prokura ist nicht übertragbar.</w:t>
      </w:r>
    </w:p>
    <w:p>
      <w:r>
        <w:t xml:space="preserve">(3) Die Prokura erlischt nicht durch den Tod des Inhabers des Handelsgeschäfts.</w:t>
      </w:r>
    </w:p>
    <w:p>
      <w:r>
        <w:rPr>
          <w:color w:val="555555"/>
          <w:sz w:val="17"/>
        </w:rPr>
        <w:t xml:space="preserve">Zitiervorschlag: § 52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