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512 HGB — Abweichende Vereinbarungen</w:t>
      </w:r>
    </w:p>
    <w:p>
      <w:r>
        <w:rPr>
          <w:color w:val="555555"/>
          <w:sz w:val="18"/>
        </w:rPr>
        <w:t xml:space="preserve">Handelsgesetzbuch</w:t>
      </w:r>
    </w:p>
    <w:p>
      <w:r>
        <w:rPr>
          <w:color w:val="555555"/>
          <w:sz w:val="18"/>
        </w:rPr>
        <w:t xml:space="preserve">Stand: 10.06.2019 (konsolidierte Textfassung, kein amtliches Inkrafttretensdatum)</w:t>
      </w:r>
    </w:p>
    <w:p>
      <w:r>
        <w:t xml:space="preserve">(1) Von den Vorschriften dieses Untertitels kann nur durch Vereinbarung abgewichen werden, die im Einzelnen ausgehandelt wird, auch wenn sie für eine Mehrzahl von gleichartigen Verträgen zwischen denselben Vertragsparteien getroffen wird.</w:t>
      </w:r>
    </w:p>
    <w:p>
      <w:r>
        <w:t xml:space="preserve">(2) Abweichend von Absatz 1 kann jedoch auch durch vorformulierte Vertragsbedingungen bestimmt werden, dass</w:t>
      </w:r>
    </w:p>
    <w:p>
      <w:pPr>
        <w:ind w:left="420"/>
      </w:pPr>
      <w:r>
        <w:t xml:space="preserve">1. der Verfrachter ein Verschulden seiner Leute und der Schiffsbesatzung nicht zu vertreten hat, wenn der Schaden durch ein Verhalten bei der Führung oder der sonstigen Bedienung des Schiffes, jedoch nicht bei der Durchführung von Maßnahmen, die überwiegend im Interesse der Ladung getroffen wurden, oder durch Feuer oder Explosion an Bord des Schiffes entstanden ist,</w:t>
      </w:r>
    </w:p>
    <w:p>
      <w:pPr>
        <w:ind w:left="420"/>
      </w:pPr>
      <w:r>
        <w:t xml:space="preserve">2. die Haftung des Verfrachters wegen Verlust oder Beschädigung auf höhere als die in § 504 vorgesehenen Beträge begrenzt ist.</w:t>
      </w:r>
    </w:p>
    <w:p>
      <w:r>
        <w:rPr>
          <w:color w:val="555555"/>
          <w:sz w:val="17"/>
        </w:rPr>
        <w:t xml:space="preserve">Zitiervorschlag: § 512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512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