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508 HGB — Haftung der Leute und der Schiffsbesatzung</w:t>
      </w:r>
    </w:p>
    <w:p>
      <w:r>
        <w:rPr>
          <w:color w:val="555555"/>
          <w:sz w:val="18"/>
        </w:rPr>
        <w:t xml:space="preserve">Handelsgesetzbuch</w:t>
      </w:r>
    </w:p>
    <w:p>
      <w:r>
        <w:rPr>
          <w:color w:val="555555"/>
          <w:sz w:val="18"/>
        </w:rPr>
        <w:t xml:space="preserve">Stand: 10.06.2019 (konsolidierte Textfassung, kein amtliches Inkrafttretensdatum)</w:t>
      </w:r>
    </w:p>
    <w:p>
      <w:r>
        <w:t xml:space="preserve">(1) Werden Ansprüche aus außervertraglicher Haftung wegen Verlust oder Beschädigung des Gutes gegen einen der Leute des Verfrachters geltend gemacht, so kann sich auch jener auf die in diesem Untertitel und im Stückgutfrachtvertrag vorgesehenen Haftungsbefreiungen und Haftungsbegrenzungen berufen. Gleiches gilt, wenn die Ansprüche gegen ein Mitglied der Schiffsbesatzung geltend gemacht werden.</w:t>
      </w:r>
    </w:p>
    <w:p>
      <w:r>
        <w:t xml:space="preserve">(2) Eine Berufung auf die Haftungsbefreiungen und Haftungsbegrenzungen nach Absatz 1 ist ausgeschlossen, wenn der Schuldner vorsätzlich oder leichtfertig und in dem Bewusstsein gehandelt hat, dass ein Schaden mit Wahrscheinlichkeit eintreten werde.</w:t>
      </w:r>
    </w:p>
    <w:p>
      <w:r>
        <w:t xml:space="preserve">(3) Sind für den Verlust oder die Beschädigung des Gutes sowohl der Verfrachter als auch eine der in Absatz 1 genannten Personen verantwortlich, so haften sie als Gesamtschuldner.</w:t>
      </w:r>
    </w:p>
    <w:p>
      <w:r>
        <w:rPr>
          <w:color w:val="555555"/>
          <w:sz w:val="17"/>
        </w:rPr>
        <w:t xml:space="preserve">Zitiervorschlag: § 508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https://recht.nulegal.eu/gesetze/HGB/508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