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507 HGB — Wegfall der Haftungsbefreiungen und -begrenzungen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diesem Untertitel und im Stückgutfrachtvertrag vorgesehenen Haftungsbefreiungen und Haftungsbegrenzungen gelten nicht, wenn</w:t>
      </w:r>
    </w:p>
    <w:p>
      <w:pPr>
        <w:ind w:left="420"/>
      </w:pPr>
      <w:r>
        <w:t xml:space="preserve">1. der Schaden auf eine Handlung oder Unterlassung zurückzuführen ist, die der Verfrachter selbst vorsätzlich oder leichtfertig und in dem Bewusstsein begangen hat, dass ein Schaden mit Wahrscheinlichkeit eintreten werde, oder</w:t>
      </w:r>
    </w:p>
    <w:p>
      <w:pPr>
        <w:ind w:left="420"/>
      </w:pPr>
      <w:r>
        <w:t xml:space="preserve">2. der Verfrachter mit dem Befrachter oder dem Ablader vereinbart hat, dass das Gut unter Deck befördert wird, und der Schaden darauf zurückzuführen ist, dass das Gut auf Deck verladen wurde.</w:t>
      </w:r>
    </w:p>
    <w:p>
      <w:r>
        <w:rPr>
          <w:color w:val="555555"/>
          <w:sz w:val="17"/>
        </w:rPr>
        <w:t xml:space="preserve">Zitiervorschlag: § 507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