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503 HGB — Schadensfeststellungskosten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Verlust oder Beschädigung des Gutes hat der Verfrachter über den nach § 502 zu leistenden Ersatz hinaus die Kosten der Feststellung des Schadens zu tragen.</w:t>
      </w:r>
    </w:p>
    <w:p>
      <w:r>
        <w:rPr>
          <w:color w:val="555555"/>
          <w:sz w:val="17"/>
        </w:rPr>
        <w:t xml:space="preserve">Zitiervorschlag: § 503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https://recht.nulegal.eu/gesetze/HGB/503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