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500 HGB — Unerlaubte Verladung auf Deck</w:t>
      </w:r>
    </w:p>
    <w:p>
      <w:r>
        <w:rPr>
          <w:color w:val="555555"/>
          <w:sz w:val="18"/>
        </w:rPr>
        <w:t xml:space="preserve">Handelsgesetzbuch</w:t>
      </w:r>
    </w:p>
    <w:p>
      <w:r>
        <w:rPr>
          <w:color w:val="555555"/>
          <w:sz w:val="18"/>
        </w:rPr>
        <w:t xml:space="preserve">Stand: 10.06.2019 (konsolidierte Textfassung, kein amtliches Inkrafttretensdatum)</w:t>
      </w:r>
    </w:p>
    <w:p>
      <w:r>
        <w:t xml:space="preserve">Hat der Verfrachter ohne die nach § 486 Absatz 4 erforderliche Zustimmung des Befrachters oder des Abladers Gut auf Deck verladen, haftet er, auch wenn ihn kein Verschulden trifft, für den Schaden, der dadurch entsteht, dass das Gut auf Grund der Verladung auf Deck verloren gegangen ist oder beschädigt wurde. Im Falle von Satz 1 wird vermutet, dass der Verlust oder die Beschädigung des Gutes darauf zurückzuführen ist, dass das Gut auf Deck verladen wurde.</w:t>
      </w:r>
    </w:p>
    <w:p>
      <w:r>
        <w:rPr>
          <w:color w:val="555555"/>
          <w:sz w:val="17"/>
        </w:rPr>
        <w:t xml:space="preserve">Zitiervorschlag: § 500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500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