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499 HGB — Besondere Schadensursachen</w:t>
      </w:r>
    </w:p>
    <w:p>
      <w:r>
        <w:rPr>
          <w:color w:val="555555"/>
          <w:sz w:val="18"/>
        </w:rPr>
        <w:t xml:space="preserve">Handelsgesetzbuch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Der Verfrachter haftet nicht, soweit der Verlust oder die Beschädigung auf einem der folgenden Umstände beruht:</w:t>
      </w:r>
    </w:p>
    <w:p>
      <w:pPr>
        <w:ind w:left="420"/>
      </w:pPr>
      <w:r>
        <w:t xml:space="preserve">1. Gefahren oder Unfällen der See und anderer schiffbarer Gewässer,</w:t>
      </w:r>
    </w:p>
    <w:p>
      <w:pPr>
        <w:ind w:left="420"/>
      </w:pPr>
      <w:r>
        <w:t xml:space="preserve">2. kriegerischen Ereignissen, Unruhen, Handlungen öffentlicher Feinde oder Verfügungen von hoher Hand sowie Quarantänebeschränkungen,</w:t>
      </w:r>
    </w:p>
    <w:p>
      <w:pPr>
        <w:ind w:left="420"/>
      </w:pPr>
      <w:r>
        <w:t xml:space="preserve">3. gerichtlicher Beschlagnahme,</w:t>
      </w:r>
    </w:p>
    <w:p>
      <w:pPr>
        <w:ind w:left="420"/>
      </w:pPr>
      <w:r>
        <w:t xml:space="preserve">4. Streik, Aussperrung oder sonstiger Arbeitsbehinderung,</w:t>
      </w:r>
    </w:p>
    <w:p>
      <w:pPr>
        <w:ind w:left="420"/>
      </w:pPr>
      <w:r>
        <w:t xml:space="preserve">5. Handlungen oder Unterlassungen des Befrachters oder Abladers, insbesondere ungenügender Verpackung oder ungenügender Kennzeichnung der Frachtstücke durch den Befrachter oder Ablader,</w:t>
      </w:r>
    </w:p>
    <w:p>
      <w:pPr>
        <w:ind w:left="420"/>
      </w:pPr>
      <w:r>
        <w:t xml:space="preserve">6. der natürlichen Art oder Beschaffenheit des Gutes, die besonders leicht zu Schäden, insbesondere durch Bruch, Rost, inneren Verderb, Austrocknen, Auslaufen, normalen Schwund an Raumgehalt oder Gewicht, führt,</w:t>
      </w:r>
    </w:p>
    <w:p>
      <w:pPr>
        <w:ind w:left="420"/>
      </w:pPr>
      <w:r>
        <w:t xml:space="preserve">7. der Beförderung lebender Tiere,</w:t>
      </w:r>
    </w:p>
    <w:p>
      <w:pPr>
        <w:ind w:left="420"/>
      </w:pPr>
      <w:r>
        <w:t xml:space="preserve">8. Maßnahmen zur Rettung von Menschen auf Seegewässern,</w:t>
      </w:r>
    </w:p>
    <w:p>
      <w:pPr>
        <w:ind w:left="420"/>
      </w:pPr>
      <w:r>
        <w:t xml:space="preserve">9. Bergungsmaßnahmen auf Seegewässern.</w:t>
      </w:r>
    </w:p>
    <w:p>
      <w:r>
        <w:t xml:space="preserve">Satz 1 gilt nicht, wenn der Schaden durch die Sorgfalt eines ordentlichen Verfrachters hätte abgewendet werden können.</w:t>
      </w:r>
    </w:p>
    <w:p>
      <w:r>
        <w:t xml:space="preserve">(2) Ist nach den Umständen des Falles wahrscheinlich, dass der Verlust oder die Beschädigung auf einem der in Absatz 1 Satz 1 aufgeführten Umstände beruht, so wird vermutet, dass der Schaden auf diesem Umstand beruht. Satz 1 gilt nicht, wenn das Gut mit einem seeuntüchtigen oder ladungsuntüchtigen Schiff befördert wurde.</w:t>
      </w:r>
    </w:p>
    <w:p>
      <w:r>
        <w:t xml:space="preserve">(3) Ist der Verfrachter nach dem Stückgutfrachtvertrag verpflichtet, das Gut gegen die Einwirkung von Hitze, Kälte, Temperaturschwankungen, Luftfeuchtigkeit, Erschütterungen oder ähnlichen Einflüssen besonders zu schützen, so kann er sich auf Absatz 1 Satz 1 Nummer 6 nur berufen, wenn er alle ihm nach den Umständen obliegenden Maßnahmen, insbesondere hinsichtlich der Auswahl, Instandhaltung und Verwendung besonderer Einrichtungen, getroffen und besondere Weisungen beachtet hat.</w:t>
      </w:r>
    </w:p>
    <w:p>
      <w:r>
        <w:t xml:space="preserve">(4) Der Verfrachter kann sich auf Absatz 1 Satz 1 Nummer 7 nur berufen, wenn er alle ihm nach den Umständen obliegenden Maßnahmen getroffen und besondere Weisungen beachtet hat.</w:t>
      </w:r>
    </w:p>
    <w:p>
      <w:r>
        <w:rPr>
          <w:color w:val="555555"/>
          <w:sz w:val="17"/>
        </w:rPr>
        <w:t xml:space="preserve">Zitiervorschlag: § 499 HGB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https://recht.nulegal.eu/gesetze/HGB/499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