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494 HGB — Rechte des Empfängers. Zahlungspflicht</w:t>
      </w:r>
    </w:p>
    <w:p>
      <w:r>
        <w:rPr>
          <w:color w:val="555555"/>
          <w:sz w:val="18"/>
        </w:rPr>
        <w:t xml:space="preserve">Handelsgesetzbuch</w:t>
      </w:r>
    </w:p>
    <w:p>
      <w:r>
        <w:rPr>
          <w:color w:val="555555"/>
          <w:sz w:val="18"/>
        </w:rPr>
        <w:t xml:space="preserve">Stand: 10.06.2019 (konsolidierte Textfassung, kein amtliches Inkrafttretensdatum)</w:t>
      </w:r>
    </w:p>
    <w:p>
      <w:r>
        <w:t xml:space="preserve">(1) Nach Ankunft des Gutes am Löschplatz ist der Empfänger berechtigt, vom Verfrachter zu verlangen, ihm das Gut gegen Erfüllung der Verpflichtungen aus dem Stückgutfrachtvertrag abzuliefern. Ist das Gut beschädigt oder verspätet abgeliefert worden oder verloren gegangen, so kann der Empfänger die Ansprüche aus dem Stückgutfrachtvertrag im eigenen Namen gegen den Verfrachter geltend machen; der Befrachter bleibt zur Geltendmachung dieser Ansprüche befugt. Dabei macht es keinen Unterschied, ob der Empfänger oder der Befrachter im eigenen oder fremden Interesse handelt.</w:t>
      </w:r>
    </w:p>
    <w:p>
      <w:r>
        <w:t xml:space="preserve">(2) Der Empfänger, der sein Recht nach Absatz 1 Satz 1 geltend macht, hat die noch geschuldete Fracht bis zu dem Betrag zu zahlen, der aus dem Beförderungsdokument hervorgeht. Ist ein Beförderungsdokument nicht ausgestellt oder dem Empfänger nicht vorgelegt worden oder ergibt sich aus dem Beförderungsdokument nicht die Höhe der zu zahlenden Fracht, so hat der Empfänger die mit dem Befrachter vereinbarte Fracht zu zahlen, soweit diese nicht unangemessen ist.</w:t>
      </w:r>
    </w:p>
    <w:p>
      <w:r>
        <w:t xml:space="preserve">(3) Der Empfänger, der sein Recht nach Absatz 1 Satz 1 geltend macht, hat ferner eine Vergütung nach § 493 Absatz 4 zu zahlen, wenn ihm der geschuldete Betrag bei Ablieferung des Gutes mitgeteilt worden ist.</w:t>
      </w:r>
    </w:p>
    <w:p>
      <w:r>
        <w:t xml:space="preserve">(4) Der Befrachter bleibt zur Zahlung der nach dem Vertrag geschuldeten Beträge verpflichtet.</w:t>
      </w:r>
    </w:p>
    <w:p>
      <w:r>
        <w:rPr>
          <w:color w:val="555555"/>
          <w:sz w:val="17"/>
        </w:rPr>
        <w:t xml:space="preserve">Zitiervorschlag: § 494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