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489 HGB — Kündigung durch den Befrachter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Befrachter kann den Stückgutfrachtvertrag jederzeit kündigen.</w:t>
      </w:r>
    </w:p>
    <w:p>
      <w:r>
        <w:t xml:space="preserve">(2) Kündigt der Befrachter, so kann der Verfrachter Folgendes verlangen:</w:t>
      </w:r>
    </w:p>
    <w:p>
      <w:pPr>
        <w:ind w:left="420"/>
      </w:pPr>
      <w:r>
        <w:t xml:space="preserve">1. die vereinbarte Fracht sowie zu ersetzende Aufwendungen unter Anrechnung dessen, was der Verfrachter infolge der Aufhebung des Vertrags an Aufwendungen erspart oder anderweitig erwirbt oder zu erwerben böswillig unterlässt, oder</w:t>
      </w:r>
    </w:p>
    <w:p>
      <w:pPr>
        <w:ind w:left="420"/>
      </w:pPr>
      <w:r>
        <w:t xml:space="preserve">2. ein Drittel der vereinbarten Fracht (Fautfracht).</w:t>
      </w:r>
    </w:p>
    <w:p>
      <w:r>
        <w:t xml:space="preserve">Beruht die Kündigung auf Gründen, die dem Risikobereich des Verfrachters zuzurechnen sind, so entfällt der Anspruch auf Fautfracht nach Satz 1 Nummer 2; in diesem Falle entfällt auch der Anspruch nach Satz 1 Nummer 1, soweit die Beförderung für den Befrachter nicht von Interesse ist.</w:t>
      </w:r>
    </w:p>
    <w:p>
      <w:r>
        <w:t xml:space="preserve">(3) Wurde vor der Kündigung bereits Gut verladen, so kann der Verfrachter auf Kosten des Befrachters Maßnahmen entsprechend § 492 Absatz 3 Satz 2 bis 4 ergreifen. Beruht die Kündigung auf Gründen, die dem Risikobereich des Verfrachters zuzurechnen sind, so sind abweichend von Satz 1 die Kosten vom Verfrachter zu tragen.</w:t>
      </w:r>
    </w:p>
    <w:p>
      <w:r>
        <w:rPr>
          <w:color w:val="555555"/>
          <w:sz w:val="17"/>
        </w:rPr>
        <w:t xml:space="preserve">Zitiervorschlag: § 489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https://recht.nulegal.eu/gesetze/HGB/489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