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488 HGB — Haftung des Befrachters und Dritter</w:t>
      </w:r>
    </w:p>
    <w:p>
      <w:r>
        <w:rPr>
          <w:color w:val="555555"/>
          <w:sz w:val="18"/>
        </w:rPr>
        <w:t xml:space="preserve">Handelsgesetzbuch</w:t>
      </w:r>
    </w:p>
    <w:p>
      <w:r>
        <w:rPr>
          <w:color w:val="555555"/>
          <w:sz w:val="18"/>
        </w:rPr>
        <w:t xml:space="preserve">Stand: 10.06.2019 (konsolidierte Textfassung, kein amtliches Inkrafttretensdatum)</w:t>
      </w:r>
    </w:p>
    <w:p>
      <w:r>
        <w:t xml:space="preserve">(1) Der Befrachter hat dem Verfrachter Schäden und Aufwendungen zu ersetzen, die verursacht werden durch</w:t>
      </w:r>
    </w:p>
    <w:p>
      <w:pPr>
        <w:ind w:left="420"/>
      </w:pPr>
      <w:r>
        <w:t xml:space="preserve">1. Unrichtigkeit oder Unvollständigkeit der erforderlichen Angaben zum Gut,</w:t>
      </w:r>
    </w:p>
    <w:p>
      <w:pPr>
        <w:ind w:left="420"/>
      </w:pPr>
      <w:r>
        <w:t xml:space="preserve">2. Unterlassen der Mitteilung über die Gefährlichkeit des Gutes,</w:t>
      </w:r>
    </w:p>
    <w:p>
      <w:pPr>
        <w:ind w:left="420"/>
      </w:pPr>
      <w:r>
        <w:t xml:space="preserve">3. ungenügende Verpackung oder Kennzeichnung oder</w:t>
      </w:r>
    </w:p>
    <w:p>
      <w:pPr>
        <w:ind w:left="420"/>
      </w:pPr>
      <w:r>
        <w:t xml:space="preserve">4. Fehlen, Unvollständigkeit oder Unrichtigkeit der in § 487 Absatz 1 genannten Urkunden oder Auskünfte.</w:t>
      </w:r>
    </w:p>
    <w:p>
      <w:r>
        <w:t xml:space="preserve">Der Befrachter ist jedoch von seiner Haftung befreit, wenn er die Pflichtverletzung nicht zu vertreten hat.</w:t>
      </w:r>
    </w:p>
    <w:p>
      <w:r>
        <w:t xml:space="preserve">(2) Macht der in § 482 Absatz 2 genannte Dritte unrichtige oder unvollständige Angaben bei der Abladung oder unterlässt er es, den Verfrachter über die Gefährlichkeit des Gutes zu unterrichten, so kann der Verfrachter auch von diesem Ersatz der hierdurch verursachten Schäden und Aufwendungen verlangen. Dies gilt nicht, wenn der Dritte die Pflichtverletzung nicht zu vertreten hat.</w:t>
      </w:r>
    </w:p>
    <w:p>
      <w:r>
        <w:t xml:space="preserve">(3) Wird ein Konnossement ausgestellt, so haben der Befrachter und der Ablader (§ 513 Absatz 2), auch wenn sie kein Verschulden trifft, dem Verfrachter Schäden und Aufwendungen zu ersetzen, die verursacht werden durch</w:t>
      </w:r>
    </w:p>
    <w:p>
      <w:pPr>
        <w:ind w:left="420"/>
      </w:pPr>
      <w:r>
        <w:t xml:space="preserve">1. Unrichtigkeit oder Unvollständigkeit der in das Konnossement aufgenommenen Angaben nach § 515 Absatz 1 Nummer 8 über Maß, Zahl oder Gewicht sowie über Merkzeichen des Gutes oder</w:t>
      </w:r>
    </w:p>
    <w:p>
      <w:pPr>
        <w:ind w:left="420"/>
      </w:pPr>
      <w:r>
        <w:t xml:space="preserve">2. Unterlassen der Mitteilung über die Gefährlichkeit des Gutes.</w:t>
      </w:r>
    </w:p>
    <w:p>
      <w:r>
        <w:t xml:space="preserve">Jeder von ihnen haftet jedoch dem Verfrachter nur für die Schäden und Aufwendungen, die aus der Unrichtigkeit oder Unvollständigkeit seiner jeweiligen Angaben entstehen.</w:t>
      </w:r>
    </w:p>
    <w:p>
      <w:r>
        <w:t xml:space="preserve">(4) Hat bei der Verursachung der Schäden oder Aufwendungen ein Verhalten des Verfrachters mitgewirkt, so hängen die Verpflichtung des Befrachters und des Abladers nach Absatz 3 zum Ersatz sowie der Umfang des zu leistenden Ersatzes davon ab, inwieweit dieses Verhalten zu den Schäden und Aufwendungen beigetragen hat.</w:t>
      </w:r>
    </w:p>
    <w:p>
      <w:r>
        <w:t xml:space="preserve">(5) Eine Vereinbarung, durch die die Haftung nach Absatz 1, 2 oder 3 ausgeschlossen wird, ist nur wirksam, wenn sie im Einzelnen ausgehandelt wird, auch wenn sie für eine Mehrzahl von gleichartigen Verträgen zwischen denselben Vertragsparteien getroffen wird. Abweichend von Satz 1 kann jedoch die vom Befrachter oder Ablader zu leistende Entschädigung der Höhe nach auch durch vorformulierte Vertragsbedingungen beschränkt werden.</w:t>
      </w:r>
    </w:p>
    <w:p>
      <w:r>
        <w:rPr>
          <w:color w:val="555555"/>
          <w:sz w:val="17"/>
        </w:rPr>
        <w:t xml:space="preserve">Zitiervorschlag: § 488 HGB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https://recht.nulegal.eu/gesetze/HGB/488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