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487 HGB — Begleitpapiere</w:t>
      </w:r>
    </w:p>
    <w:p>
      <w:r>
        <w:rPr>
          <w:color w:val="555555"/>
          <w:sz w:val="18"/>
        </w:rPr>
        <w:t xml:space="preserve">Handelsgesetzbuch</w:t>
      </w:r>
    </w:p>
    <w:p>
      <w:r>
        <w:rPr>
          <w:color w:val="555555"/>
          <w:sz w:val="18"/>
        </w:rPr>
        <w:t xml:space="preserve">Stand: 10.06.2019 (konsolidierte Textfassung, kein amtliches Inkrafttretensdatum)</w:t>
      </w:r>
    </w:p>
    <w:p>
      <w:r>
        <w:t xml:space="preserve">(1) Der Befrachter hat dem Verfrachter alle Urkunden zur Verfügung zu stellen und Auskünfte zu erteilen, die für eine amtliche Behandlung, insbesondere eine Zollabfertigung, vor der Ablieferung erforderlich sind.</w:t>
      </w:r>
    </w:p>
    <w:p>
      <w:r>
        <w:t xml:space="preserve">(2) Der Verfrachter ist für den Schaden verantwortlich, der durch Verlust oder Beschädigung der ihm übergebenen Urkunden oder durch deren unrichtige Verwendung verursacht worden ist, es sei denn, der Schaden hätte durch die Sorgfalt eines ordentlichen Verfrachters nicht abgewendet werden können. Die Haftung ist auf den Betrag begrenzt, der bei Verlust des Gutes zu zahlen wäre. Eine Vereinbarung, durch die die Haftung erweitert oder weiter verringert wird, ist nur wirksam, wenn sie im Einzelnen ausgehandelt wird, auch wenn sie für eine Mehrzahl von gleichartigen Verträgen zwischen denselben Vertragsparteien getroffen wird. Eine Bestimmung im Konnossement, durch die die Haftung weiter verringert wird, ist jedoch Dritten gegenüber unwirksam.</w:t>
      </w:r>
    </w:p>
    <w:p>
      <w:r>
        <w:rPr>
          <w:color w:val="555555"/>
          <w:sz w:val="17"/>
        </w:rPr>
        <w:t xml:space="preserve">Zitiervorschlag: § 487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487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