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473 HGB — Dauer der Lagerung</w:t>
      </w:r>
    </w:p>
    <w:p>
      <w:r>
        <w:rPr>
          <w:color w:val="555555"/>
          <w:sz w:val="18"/>
        </w:rPr>
        <w:t xml:space="preserve">Handelsgesetzbuch</w:t>
      </w:r>
    </w:p>
    <w:p>
      <w:r>
        <w:rPr>
          <w:color w:val="555555"/>
          <w:sz w:val="18"/>
        </w:rPr>
        <w:t xml:space="preserve">Stand: 10.06.2019 (konsolidierte Textfassung, kein amtliches Inkrafttretensdatum)</w:t>
      </w:r>
    </w:p>
    <w:p>
      <w:r>
        <w:t xml:space="preserve">(1) Der Einlagerer kann das Gut jederzeit herausverlangen. Ist der Lagervertrag auf unbestimmte Zeit geschlossen, so kann er den Vertrag jedoch nur unter Einhaltung einer Kündigungsfrist von einem Monat kündigen, es sei denn, es liegt ein wichtiger Grund vor, der zur Kündigung des Vertrags ohne Einhaltung der Kündigungsfrist berechtigt.</w:t>
      </w:r>
    </w:p>
    <w:p>
      <w:r>
        <w:t xml:space="preserve">(2) Der Lagerhalter kann die Rücknahme des Gutes nach Ablauf der vereinbarten Lagerzeit oder bei Einlagerung auf unbestimmte Zeit nach Kündigung des Vertrags unter Einhaltung einer Kündigungsfrist von einem Monat verlangen. Liegt ein wichtiger Grund vor, so kann der Lagerhalter auch vor Ablauf der Lagerzeit und ohne Einhaltung einer Kündigungsfrist die Rücknahme des Gutes verlangen.</w:t>
      </w:r>
    </w:p>
    <w:p>
      <w:r>
        <w:t xml:space="preserve">(3) Ist ein Lagerschein ausgestellt, so sind die Kündigung und das Rücknahmeverlangen an den letzten dem Lagerhalter bekannt gewordenen legitimierten Besitzer des Lagerscheins zu richten.</w:t>
      </w:r>
    </w:p>
    <w:p>
      <w:r>
        <w:rPr>
          <w:color w:val="555555"/>
          <w:sz w:val="17"/>
        </w:rPr>
        <w:t xml:space="preserve">Zitiervorschlag: § 473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