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470 HGB — Empfang des Gutes</w:t>
      </w:r>
    </w:p>
    <w:p>
      <w:r>
        <w:rPr>
          <w:color w:val="555555"/>
          <w:sz w:val="18"/>
        </w:rPr>
        <w:t xml:space="preserve">Handelsgesetzbuch</w:t>
      </w:r>
    </w:p>
    <w:p>
      <w:r>
        <w:rPr>
          <w:color w:val="555555"/>
          <w:sz w:val="18"/>
        </w:rPr>
        <w:t xml:space="preserve">Stand: 10.06.2019 (konsolidierte Textfassung, kein amtliches Inkrafttretensdatum)</w:t>
      </w:r>
    </w:p>
    <w:p>
      <w:r>
        <w:t xml:space="preserve">Befindet sich Gut, das dem Lagerhalter zugesandt ist, beim Empfang in einem beschädigten oder mangelhaften Zustand, der äußerlich erkennbar ist, so hat der Lagerhalter Schadenersatzansprüche des Einlagerers zu sichern und dem Einlagerer unverzüglich Nachricht zu geben.</w:t>
      </w:r>
    </w:p>
    <w:p>
      <w:r>
        <w:rPr>
          <w:color w:val="555555"/>
          <w:sz w:val="17"/>
        </w:rPr>
        <w:t xml:space="preserve">Zitiervorschlag: § 470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