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469 HGB — Sammellagerung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Lagerhalter ist nur berechtigt, vertretbare Sachen mit anderen Sachen gleicher Art und Güte zu vermischen, wenn die beteiligten Einlagerer ausdrücklich einverstanden sind.</w:t>
      </w:r>
    </w:p>
    <w:p>
      <w:r>
        <w:t xml:space="preserve">(2) Ist der Lagerhalter berechtigt, Gut zu vermischen, so steht vom Zeitpunkt der Einlagerung ab den Eigentümern der eingelagerten Sachen Miteigentum nach Bruchteilen zu.</w:t>
      </w:r>
    </w:p>
    <w:p>
      <w:r>
        <w:t xml:space="preserve">(3) Der Lagerhalter kann jedem Einlagerer den ihm gebührenden Anteil ausliefern, ohne daß er hierzu der Genehmigung der übrigen Beteiligten bedarf.</w:t>
      </w:r>
    </w:p>
    <w:p>
      <w:r>
        <w:rPr>
          <w:color w:val="555555"/>
          <w:sz w:val="17"/>
        </w:rPr>
        <w:t xml:space="preserve">Zitiervorschlag: § 469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