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459 HGB — Spedition zu festen Kosten</w:t>
      </w:r>
    </w:p>
    <w:p>
      <w:r>
        <w:rPr>
          <w:color w:val="555555"/>
          <w:sz w:val="18"/>
        </w:rPr>
        <w:t xml:space="preserve">Handelsgesetzbuch</w:t>
      </w:r>
    </w:p>
    <w:p>
      <w:r>
        <w:rPr>
          <w:color w:val="555555"/>
          <w:sz w:val="18"/>
        </w:rPr>
        <w:t xml:space="preserve">Stand: 10.06.2019 (konsolidierte Textfassung, kein amtliches Inkrafttretensdatum)</w:t>
      </w:r>
    </w:p>
    <w:p>
      <w:r>
        <w:t xml:space="preserve">Soweit als Vergütung ein bestimmter Betrag vereinbart ist, der Kosten für die Beförderung einschließt, hat der Spediteur hinsichtlich der Beförderung die Rechte und Pflichten eines Frachtführers oder Verfrachters. In diesem Fall hat er Anspruch auf Ersatz seiner Aufwendungen nur, soweit dies üblich ist.</w:t>
      </w:r>
    </w:p>
    <w:p>
      <w:r>
        <w:rPr>
          <w:color w:val="555555"/>
          <w:sz w:val="17"/>
        </w:rPr>
        <w:t xml:space="preserve">Zitiervorschlag: § 459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https://recht.nulegal.eu/gesetze/HGB/459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