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456 HGB — Fälligkeit der Vergütung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Vergütung ist zu zahlen, wenn das Gut dem Frachtführer oder Verfrachter übergeben worden ist.</w:t>
      </w:r>
    </w:p>
    <w:p>
      <w:r>
        <w:rPr>
          <w:color w:val="555555"/>
          <w:sz w:val="17"/>
        </w:rPr>
        <w:t xml:space="preserve">Zitiervorschlag: § 456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456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