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451h HGB — Abweichende Vereinbarungen</w:t>
      </w:r>
    </w:p>
    <w:p>
      <w:r>
        <w:rPr>
          <w:color w:val="555555"/>
          <w:sz w:val="18"/>
        </w:rPr>
        <w:t xml:space="preserve">Handelsgesetzbuch</w:t>
      </w:r>
    </w:p>
    <w:p>
      <w:r>
        <w:rPr>
          <w:color w:val="555555"/>
          <w:sz w:val="18"/>
        </w:rPr>
        <w:t xml:space="preserve">Stand: 10.06.2019 (konsolidierte Textfassung, kein amtliches Inkrafttretensdatum)</w:t>
      </w:r>
    </w:p>
    <w:p>
      <w:r>
        <w:t xml:space="preserve">(1) Ist der Absender ein Verbraucher, so kann von den die Haftung des Frachtführers und des Absenders regelnden Vorschriften dieses Unterabschnitts sowie den danach auf den Umzugsvertrag anzuwendenden Vorschriften des Ersten Unterabschnitts nicht zum Nachteil des Absenders abgewichen werden.</w:t>
      </w:r>
    </w:p>
    <w:p>
      <w:r>
        <w:t xml:space="preserve">(2) In allen anderen als den in Absatz 1 genannten Fällen kann von den darin genannten Vorschriften nur durch Vereinbarung abgewichen werden, die im einzelnen ausgehandelt ist, auch wenn sie für eine Mehrzahl von gleichartigen Verträgen zwischen denselben Vertragsparteien getroffen ist. Die vom Frachtführer zu leistende Entschädigung wegen Verlust oder Beschädigung des Gutes kann jedoch auch durch vorformulierte Vertragsbedingungen auf einen anderen als den in § 451e vorgesehenen Betrag begrenzt werden, wenn der Verwender der vorformulierten Vertragsbedingungen seinen Vertragspartner in geeigneter Weise darauf hinweist, dass diese einen anderen als den gesetzlich vorgesehenen Betrag vorsehen. Ferner kann durch vorformulierte Vertragsbedingungen die vom Absender nach § 414 zu leistende Entschädigung der Höhe nach beschränkt werden.</w:t>
      </w:r>
    </w:p>
    <w:p>
      <w:r>
        <w:t xml:space="preserve">(3) Unterliegt der Umzugsvertrag ausländischem Recht, so sind die Absätze 1 und 2 gleichwohl anzuwenden, wenn nach dem Vertrag der Ort der Übernahme und der Ort der Ablieferung des Gutes im Inland liegen.</w:t>
      </w:r>
    </w:p>
    <w:p>
      <w:r>
        <w:rPr>
          <w:color w:val="555555"/>
          <w:sz w:val="17"/>
        </w:rPr>
        <w:t xml:space="preserve">Zitiervorschlag: § 451h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