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451f HGB — Schadensanzeige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438 Abs. 1 und 2 erlöschen Ansprüche wegen Verlust oder Beschädigung des Gutes,</w:t>
      </w:r>
    </w:p>
    <w:p>
      <w:pPr>
        <w:ind w:left="420"/>
      </w:pPr>
      <w:r>
        <w:t xml:space="preserve">1. wenn der Verlust oder die Beschädigung des Gutes äußerlich erkennbar war und dem Frachtführer nicht spätestens am Tag nach der Ablieferung angezeigt worden ist,</w:t>
      </w:r>
    </w:p>
    <w:p>
      <w:pPr>
        <w:ind w:left="420"/>
      </w:pPr>
      <w:r>
        <w:t xml:space="preserve">2. wenn der Verlust oder die Beschädigung äußerlich nicht erkennbar war und dem Frachtführer nicht innerhalb von vierzehn Tagen nach Ablieferung angezeigt worden ist.</w:t>
      </w:r>
    </w:p>
    <w:p>
      <w:r>
        <w:rPr>
          <w:color w:val="555555"/>
          <w:sz w:val="17"/>
        </w:rPr>
        <w:t xml:space="preserve">Zitiervorschlag: § 451f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https://recht.nulegal.eu/gesetze/HGB/451f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