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451e HGB — Haftungshöchstbetrag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Abweichend von § 431 Abs. 1 und 2 ist die Haftung des Frachtführers wegen Verlust oder Beschädigung auf einen Betrag von 620 Euro je Kubikmeter Laderaum, der zur Erfüllung des Vertrages benötigt wird, beschränkt.</w:t>
      </w:r>
    </w:p>
    <w:p>
      <w:r>
        <w:rPr>
          <w:color w:val="555555"/>
          <w:sz w:val="17"/>
        </w:rPr>
        <w:t xml:space="preserve">Zitiervorschlag: § 451e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https://recht.nulegal.eu/gesetze/HGB/451e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