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451d HGB — Besondere Haftungsausschlußgründe</w:t>
      </w:r>
    </w:p>
    <w:p>
      <w:r>
        <w:rPr>
          <w:color w:val="555555"/>
          <w:sz w:val="18"/>
        </w:rPr>
        <w:t xml:space="preserve">Handelsgesetzbuch</w:t>
      </w:r>
    </w:p>
    <w:p>
      <w:r>
        <w:rPr>
          <w:color w:val="555555"/>
          <w:sz w:val="18"/>
        </w:rPr>
        <w:t xml:space="preserve">Stand: 10.06.2019 (konsolidierte Textfassung, kein amtliches Inkrafttretensdatum)</w:t>
      </w:r>
    </w:p>
    <w:p>
      <w:r>
        <w:t xml:space="preserve">(1) Abweichend von § 427 ist der Frachtführer von seiner Haftung befreit, soweit der Verlust oder die Beschädigung auf eine der folgenden Gefahren zurückzuführen ist:</w:t>
      </w:r>
    </w:p>
    <w:p>
      <w:pPr>
        <w:ind w:left="420"/>
      </w:pPr>
      <w:r>
        <w:t xml:space="preserve">1. Beförderung von Edelmetallen, Juwelen, Edelsteinen, Geld, Briefmarken, Münzen, Wertpapieren oder Urkunden;</w:t>
      </w:r>
    </w:p>
    <w:p>
      <w:pPr>
        <w:ind w:left="420"/>
      </w:pPr>
      <w:r>
        <w:t xml:space="preserve">2. ungenügende Verpackung oder Kennzeichnung durch den Absender;</w:t>
      </w:r>
    </w:p>
    <w:p>
      <w:pPr>
        <w:ind w:left="420"/>
      </w:pPr>
      <w:r>
        <w:t xml:space="preserve">3. Behandeln, Verladen oder Entladen des Gutes durch den Absender;</w:t>
      </w:r>
    </w:p>
    <w:p>
      <w:pPr>
        <w:ind w:left="420"/>
      </w:pPr>
      <w:r>
        <w:t xml:space="preserve">4. Beförderung von nicht vom Frachtführer verpacktem Gut in Behältern;</w:t>
      </w:r>
    </w:p>
    <w:p>
      <w:pPr>
        <w:ind w:left="420"/>
      </w:pPr>
      <w:r>
        <w:t xml:space="preserve">5. Verladen oder Entladen von Gut, dessen Größe oder Gewicht den Raumverhältnissen an der Ladestelle oder Entladestelle nicht entspricht, sofern der Frachtführer den Absender auf die Gefahr einer Beschädigung vorher hingewiesen und der Absender auf der Durchführung der Leistung bestanden hat;</w:t>
      </w:r>
    </w:p>
    <w:p>
      <w:pPr>
        <w:ind w:left="420"/>
      </w:pPr>
      <w:r>
        <w:t xml:space="preserve">6. Beförderung lebender Tiere oder von Pflanzen;</w:t>
      </w:r>
    </w:p>
    <w:p>
      <w:pPr>
        <w:ind w:left="420"/>
      </w:pPr>
      <w:r>
        <w:t xml:space="preserve">7. natürliche oder mangelhafte Beschaffenheit des Gutes, der zufolge es besonders leicht Schäden, insbesondere durch Bruch, Funktionsstörungen, Rost, inneren Verderb oder Auslaufen, erleidet.</w:t>
      </w:r>
    </w:p>
    <w:p>
      <w:r>
        <w:t xml:space="preserve">(2) Ist ein Schaden eingetreten, der nach den Umständen des Falles aus einer der in Absatz 1 bezeichneten Gefahren entstehen konnte, so wird vermutet, daß der Schaden aus dieser Gefahr entstanden ist.</w:t>
      </w:r>
    </w:p>
    <w:p>
      <w:r>
        <w:t xml:space="preserve">(3) Der Frachtführer kann sich auf Absatz 1 nur berufen, wenn er alle ihm nach den Umständen obliegenden Maßnahmen getroffen und besondere Weisungen beachtet hat.</w:t>
      </w:r>
    </w:p>
    <w:p>
      <w:r>
        <w:rPr>
          <w:color w:val="555555"/>
          <w:sz w:val="17"/>
        </w:rPr>
        <w:t xml:space="preserve">Zitiervorschlag: § 451d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https://recht.nulegal.eu/gesetze/HGB/451d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