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451b HGB — Frachtbrief. Gefährliches Gut. Begleitpapiere. Mitteilungs- und Auskunftspflichten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408 ist der Absender nicht verpflichtet, einen Frachtbrief auszustellen.</w:t>
      </w:r>
    </w:p>
    <w:p>
      <w:r>
        <w:t xml:space="preserve">(2) Zählt zu dem Umzugsgut gefährliches Gut und ist der Absender ein Verbraucher, so ist er abweichend von § 410 lediglich verpflichtet, den Frachtführer über die von dem Gut ausgehende Gefahr allgemein zu unterrichten; die Unterrichtung bedarf keiner Form. Der Frachtführer hat den Absender über dessen Pflicht nach Satz 1 zu unterrichten.</w:t>
      </w:r>
    </w:p>
    <w:p>
      <w:r>
        <w:t xml:space="preserve">(3) Der Frachtführer hat den Absender, wenn dieser ein Verbraucher ist, über die zu beachtenden Zoll- und sonstigen Verwaltungsvorschriften zu unterrichten. Er ist jedoch nicht verpflichtet zu prüfen, ob vom Absender zur Verfügung gestellte Urkunden und erteilte Auskünfte richtig und vollständig sind.</w:t>
      </w:r>
    </w:p>
    <w:p>
      <w:r>
        <w:rPr>
          <w:color w:val="555555"/>
          <w:sz w:val="17"/>
        </w:rPr>
        <w:t xml:space="preserve">Zitiervorschlag: § 451b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https://recht.nulegal.eu/gesetze/HGB/451b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