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451a HGB — Pflichten des Frachtführers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Pflichten des Frachtführers umfassen auch das Ab- und Aufbauen der Möbel sowie das Ver- und Entladen des Umzugsgutes.</w:t>
      </w:r>
    </w:p>
    <w:p>
      <w:r>
        <w:t xml:space="preserve">(2) Ist der Absender ein Verbraucher, so zählt zu den Pflichten des Frachtführers ferner die Ausführung sonstiger auf den Umzug bezogener Leistungen wie die Verpackung und Kennzeichnung des Umzugsgutes.</w:t>
      </w:r>
    </w:p>
    <w:p>
      <w:r>
        <w:rPr>
          <w:color w:val="555555"/>
          <w:sz w:val="17"/>
        </w:rPr>
        <w:t xml:space="preserve">Zitiervorschlag: § 451a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https://recht.nulegal.eu/gesetze/HGB/451a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451a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