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450 HGB — Anwendung von Seefrachtrecht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der Frachtvertrag die Beförderung des Gutes ohne Umladung sowohl auf Binnen- als auch auf Seegewässern zum Gegenstand, so ist auf den Vertrag Seefrachtrecht anzuwenden, wenn</w:t>
      </w:r>
    </w:p>
    <w:p>
      <w:pPr>
        <w:ind w:left="420"/>
      </w:pPr>
      <w:r>
        <w:t xml:space="preserve">1. ein Konnossement ausgestellt ist oder</w:t>
      </w:r>
    </w:p>
    <w:p>
      <w:pPr>
        <w:ind w:left="420"/>
      </w:pPr>
      <w:r>
        <w:t xml:space="preserve">2. die auf Seegewässern zurückzulegende Strecke die größere ist.</w:t>
      </w:r>
    </w:p>
    <w:p>
      <w:r>
        <w:rPr>
          <w:color w:val="555555"/>
          <w:sz w:val="17"/>
        </w:rPr>
        <w:t xml:space="preserve">Zitiervorschlag: § 450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https://recht.nulegal.eu/gesetze/HGB/450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