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442 HGB — Rang mehrerer Pfandrechte</w:t>
      </w:r>
    </w:p>
    <w:p>
      <w:r>
        <w:rPr>
          <w:color w:val="555555"/>
          <w:sz w:val="18"/>
        </w:rPr>
        <w:t xml:space="preserve">Handelsgesetzbuch</w:t>
      </w:r>
    </w:p>
    <w:p>
      <w:r>
        <w:rPr>
          <w:color w:val="555555"/>
          <w:sz w:val="18"/>
        </w:rPr>
        <w:t xml:space="preserve">Stand: 10.06.2019 (konsolidierte Textfassung, kein amtliches Inkrafttretensdatum)</w:t>
      </w:r>
    </w:p>
    <w:p>
      <w:r>
        <w:t xml:space="preserve">(1) Bestehen an demselben Gut mehrere nach den §§ 397, 440, 464, 475b und 495 begründete Pfandrechte, so geht unter denjenigen Pfandrechten, die durch die Versendung oder durch die Beförderung des Gutes entstanden sind, das später entstandene dem früher entstandenen vor.</w:t>
      </w:r>
    </w:p>
    <w:p>
      <w:r>
        <w:t xml:space="preserve">(2) Diese Pfandrechte haben Vorrang vor dem nicht aus der Versendung entstandenen Pfandrecht des Kommissionärs und des Lagerhalters sowie vor dem Pfandrecht des Spediteurs, des Frachtführers und des Verfrachters für Vorschüsse.</w:t>
      </w:r>
    </w:p>
    <w:p>
      <w:r>
        <w:rPr>
          <w:color w:val="555555"/>
          <w:sz w:val="17"/>
        </w:rPr>
        <w:t xml:space="preserve">Zitiervorschlag: § 442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