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435 HGB — Wegfall der Haftungsbefreiungen und -begrenzungen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diesem Unterabschnitt und im Frachtvertrag vorgesehenen Haftungsbefreiungen und Haftungsbegrenzungen gelten nicht, wenn der Schaden auf eine Handlung oder Unterlassung zurückzuführen ist, die der Frachtführer oder eine in § 428 genannte Person vorsätzlich oder leichtfertig und in dem Bewußtsein, daß ein Schaden mit Wahrscheinlichkeit eintreten werde, begangen hat.</w:t>
      </w:r>
    </w:p>
    <w:p>
      <w:r>
        <w:rPr>
          <w:color w:val="555555"/>
          <w:sz w:val="17"/>
        </w:rPr>
        <w:t xml:space="preserve">Zitiervorschlag: § 435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435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