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429 HGB — Wertersatz</w:t>
      </w:r>
    </w:p>
    <w:p>
      <w:r>
        <w:rPr>
          <w:color w:val="555555"/>
          <w:sz w:val="18"/>
        </w:rPr>
        <w:t xml:space="preserve">Handelsgesetzbuch</w:t>
      </w:r>
    </w:p>
    <w:p>
      <w:r>
        <w:rPr>
          <w:color w:val="555555"/>
          <w:sz w:val="18"/>
        </w:rPr>
        <w:t xml:space="preserve">Stand: 10.06.2019 (konsolidierte Textfassung, kein amtliches Inkrafttretensdatum)</w:t>
      </w:r>
    </w:p>
    <w:p>
      <w:r>
        <w:t xml:space="preserve">(1) Hat der Frachtführer für gänzlichen oder teilweisen Verlust des Gutes Schadenersatz zu leisten, so ist der Wert am Ort und zur Zeit der Übernahme zur Beförderung zu ersetzen.</w:t>
      </w:r>
    </w:p>
    <w:p>
      <w:r>
        <w:t xml:space="preserve">(2) Bei Beschädigung des Gutes ist der Unterschied zwischen dem Wert des unbeschädigten Gutes am Ort und zur Zeit der Übernahme zur Beförderung und dem Wert zu ersetzen, den das beschädigte Gut am Ort und zur Zeit der Übernahme gehabt hätte. Es wird vermutet, daß die zur Schadensminderung und Schadensbehebung aufzuwendenden Kosten dem nach Satz 1 zu ermittelnden Unterschiedsbetrag entsprechen.</w:t>
      </w:r>
    </w:p>
    <w:p>
      <w:r>
        <w:t xml:space="preserve">(3) Der Wert des Gutes bestimmt sich nach dem Marktpreis, sonst nach dem gemeinen Wert von Gütern gleicher Art und Beschaffenheit. Ist das Gut unmittelbar vor Übernahme zur Beförderung verkauft worden, so wird vermutet, daß der in der Rechnung des Verkäufers ausgewiesene Kaufpreis abzüglich darin enthaltener Beförderungskosten der Marktpreis ist.</w:t>
      </w:r>
    </w:p>
    <w:p>
      <w:r>
        <w:rPr>
          <w:color w:val="555555"/>
          <w:sz w:val="17"/>
        </w:rPr>
        <w:t xml:space="preserve">Zitiervorschlag: § 429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