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422 HGB — Nachnahme</w:t>
      </w:r>
    </w:p>
    <w:p>
      <w:r>
        <w:rPr>
          <w:color w:val="555555"/>
          <w:sz w:val="18"/>
        </w:rPr>
        <w:t xml:space="preserve">Handelsgesetzbuch</w:t>
      </w:r>
    </w:p>
    <w:p>
      <w:r>
        <w:rPr>
          <w:color w:val="555555"/>
          <w:sz w:val="18"/>
        </w:rPr>
        <w:t xml:space="preserve">Stand: 10.06.2019 (konsolidierte Textfassung, kein amtliches Inkrafttretensdatum)</w:t>
      </w:r>
    </w:p>
    <w:p>
      <w:r>
        <w:t xml:space="preserve">(1) Haben die Parteien vereinbart, daß das Gut nur gegen Einziehung einer Nachnahme an den Empfänger abgeliefert werden darf, so ist anzunehmen, daß der Betrag in bar oder in Form eines gleichwertigen Zahlungsmittels einzuziehen ist.</w:t>
      </w:r>
    </w:p>
    <w:p>
      <w:r>
        <w:t xml:space="preserve">(2) Das auf Grund der Einziehung Erlangte gilt im Verhältnis zu den Gläubigern des Frachtführers als auf den Absender übertragen.</w:t>
      </w:r>
    </w:p>
    <w:p>
      <w:r>
        <w:t xml:space="preserve">(3) Wird das Gut dem Empfänger ohne Einziehung der Nachnahme abgeliefert, so haftet der Frachtführer, auch wenn ihn kein Verschulden trifft, dem Absender für den daraus entstehenden Schaden, jedoch nur bis zur Höhe des Betrages der Nachnahme.</w:t>
      </w:r>
    </w:p>
    <w:p>
      <w:r>
        <w:rPr>
          <w:color w:val="555555"/>
          <w:sz w:val="17"/>
        </w:rPr>
        <w:t xml:space="preserve">Zitiervorschlag: § 422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