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410 HGB — Gefährliches Gut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Soll gefährliches Gut befördert werden, so hat der Absender dem Frachtführer rechtzeitig in Textform die genaue Art der Gefahr und, soweit erforderlich, zu ergreifende Vorsichtsmaßnahmen mitzuteilen.</w:t>
      </w:r>
    </w:p>
    <w:p>
      <w:r>
        <w:t xml:space="preserve">(2) Der Frachtführer kann, sofern ihm nicht bei Übernahme des Gutes die Art der Gefahr bekannt war oder jedenfalls mitgeteilt worden ist,</w:t>
      </w:r>
    </w:p>
    <w:p>
      <w:pPr>
        <w:ind w:left="420"/>
      </w:pPr>
      <w:r>
        <w:t xml:space="preserve">1. gefährliches Gut ausladen, einlagern, zurückbefördern oder, soweit erforderlich, vernichten oder unschädlich machen, ohne dem Absender deshalb ersatzpflichtig zu werden, und</w:t>
      </w:r>
    </w:p>
    <w:p>
      <w:pPr>
        <w:ind w:left="420"/>
      </w:pPr>
      <w:r>
        <w:t xml:space="preserve">2. vom Absender wegen dieser Maßnahmen Ersatz der erforderlichen Aufwendungen verlangen.</w:t>
      </w:r>
    </w:p>
    <w:p>
      <w:r>
        <w:rPr>
          <w:color w:val="555555"/>
          <w:sz w:val="17"/>
        </w:rPr>
        <w:t xml:space="preserve">Zitiervorschlag: § 410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410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