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407 HGB — Frachtvertrag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Frachtvertrag wird der Frachtführer verpflichtet, das Gut zum Bestimmungsort zu befördern und dort an den Empfänger abzuliefern.</w:t>
      </w:r>
    </w:p>
    <w:p>
      <w:r>
        <w:t xml:space="preserve">(2) Der Absender wird verpflichtet, die vereinbarte Fracht zu zahlen.</w:t>
      </w:r>
    </w:p>
    <w:p>
      <w:r>
        <w:t xml:space="preserve">(3) Die Vorschriften dieses Unterabschnitts gelten, wenn</w:t>
      </w:r>
    </w:p>
    <w:p>
      <w:pPr>
        <w:ind w:left="420"/>
      </w:pPr>
      <w:r>
        <w:t xml:space="preserve">1. das Gut zu Lande, auf Binnengewässern oder mit Luftfahrzeugen befördert werden soll und</w:t>
      </w:r>
    </w:p>
    <w:p>
      <w:pPr>
        <w:ind w:left="420"/>
      </w:pPr>
      <w:r>
        <w:t xml:space="preserve">2. die Beförderung zum Betrieb eines gewerblichen Unternehmens gehört.</w:t>
      </w:r>
    </w:p>
    <w:p>
      <w:r>
        <w:t xml:space="preserve">Erfordert das Unternehmen nach Art oder Umfang einen in kaufmännischer Weise eingerichteten Geschäftsbetrieb nicht und ist die Firma des Unternehmens auch nicht nach § 2 in das Handelsregister eingetragen, so sind in Ansehung des Frachtgeschäfts auch insoweit die Vorschriften des Ersten Abschnitts des Vierten Buches ergänzend anzuwenden; dies gilt jedoch nicht für die §§ 348 bis 350.</w:t>
      </w:r>
    </w:p>
    <w:p>
      <w:r>
        <w:rPr>
          <w:color w:val="555555"/>
          <w:sz w:val="17"/>
        </w:rPr>
        <w:t xml:space="preserve">Zitiervorschlag: § 407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407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