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404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§§ 397 und 398 finden auch im Falle der Ausführung der Kommission durch Selbsteintritt Anwendung.</w:t>
      </w:r>
    </w:p>
    <w:p>
      <w:r>
        <w:rPr>
          <w:color w:val="555555"/>
          <w:sz w:val="17"/>
        </w:rPr>
        <w:t xml:space="preserve">Zitiervorschlag: § 404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https://recht.nulegal.eu/gesetze/HGB/404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