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403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Kommissionär, der das Gut selbst als Verkäufer liefert oder als Käufer übernimmt, ist zu der gewöhnlichen Provision berechtigt und kann die bei Kommissionsgeschäften sonst regelmäßig vorkommenden Kosten berechnen.</w:t>
      </w:r>
    </w:p>
    <w:p>
      <w:r>
        <w:rPr>
          <w:color w:val="555555"/>
          <w:sz w:val="17"/>
        </w:rPr>
        <w:t xml:space="preserve">Zitiervorschlag: § 403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https://recht.nulegal.eu/gesetze/HGB/403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