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399 HGB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Aus den Forderungen, welche durch das für Rechnung des Kommittenten geschlossene Geschäft begründet sind, kann sich der Kommissionär für die in § 397 bezeichneten Ansprüche vor dem Kommittenten und dessen Gläubigern befriedigen.</w:t>
      </w:r>
    </w:p>
    <w:p>
      <w:r>
        <w:rPr>
          <w:color w:val="555555"/>
          <w:sz w:val="17"/>
        </w:rPr>
        <w:t xml:space="preserve">Zitiervorschlag: § 399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https://recht.nulegal.eu/gesetze/HGB/399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