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398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Der Kommissionär kann sich, auch wenn er Eigentümer des Kommissionsguts ist, für die in § 397 bezeichneten Ansprüche nach Maßgabe der für das Pfandrecht geltenden Vorschriften aus dem Gute befriedigen.</w:t>
      </w:r>
    </w:p>
    <w:p>
      <w:r>
        <w:rPr>
          <w:color w:val="555555"/>
          <w:sz w:val="17"/>
        </w:rPr>
        <w:t xml:space="preserve">Zitiervorschlag: § 398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