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397 HGB — Pfandrecht des Kommissionärs</w:t>
      </w:r>
    </w:p>
    <w:p>
      <w:r>
        <w:rPr>
          <w:color w:val="555555"/>
          <w:sz w:val="18"/>
        </w:rPr>
        <w:t xml:space="preserve">Handelsgesetzbuch</w:t>
      </w:r>
    </w:p>
    <w:p>
      <w:r>
        <w:rPr>
          <w:color w:val="555555"/>
          <w:sz w:val="18"/>
        </w:rPr>
        <w:t xml:space="preserve">Stand: 10.06.2019 (konsolidierte Textfassung, kein amtliches Inkrafttretensdatum)</w:t>
      </w:r>
    </w:p>
    <w:p>
      <w:r>
        <w:t xml:space="preserve">Der Kommissionär hat wegen der auf das Gut verwendeten Kosten, der Provision, der auf das Gut gegebenen Vorschüsse und Darlehen sowie der mit Rücksicht auf das Gut gezeichneten Wechsel oder in anderer Weise eingegangenen Verbindlichkeiten ein Pfandrecht an dem Kommissionsgut des Kommittenten oder eines Dritten, der dem Kauf oder Verkauf des Gutes zugestimmt hat. An dem Gut des Kommittenten hat der Kommissionär auch ein Pfandrecht wegen aller Forderungen aus laufender Rechnung in Kommissionsgeschäften. Das Pfandrecht nach den Sätzen 1 und 2 besteht jedoch nur an Kommissionsgut, das der Kommissionär im Besitz hat oder über das er mittels Konnossements, Ladescheins oder Lagerscheins verfügen kann.</w:t>
      </w:r>
    </w:p>
    <w:p>
      <w:r>
        <w:rPr>
          <w:color w:val="555555"/>
          <w:sz w:val="17"/>
        </w:rPr>
        <w:t xml:space="preserve">Zitiervorschlag: § 397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