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395 HGB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Kommissionär, der den Ankauf eines Wechsels übernimmt, ist verpflichtet, den Wechsel, wenn er ihn indossiert, in üblicher Weise und ohne Vorbehalt zu indossieren.</w:t>
      </w:r>
    </w:p>
    <w:p>
      <w:r>
        <w:rPr>
          <w:color w:val="555555"/>
          <w:sz w:val="17"/>
        </w:rPr>
        <w:t xml:space="preserve">Zitiervorschlag: § 395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https://recht.nulegal.eu/gesetze/HGB/395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