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393 HGB</w:t>
      </w:r>
    </w:p>
    <w:p>
      <w:r>
        <w:rPr>
          <w:color w:val="555555"/>
          <w:sz w:val="18"/>
        </w:rPr>
        <w:t xml:space="preserve">Handelsgesetzbuch</w:t>
      </w:r>
    </w:p>
    <w:p>
      <w:r>
        <w:rPr>
          <w:color w:val="555555"/>
          <w:sz w:val="18"/>
        </w:rPr>
        <w:t xml:space="preserve">Stand: 10.06.2019 (konsolidierte Textfassung, kein amtliches Inkrafttretensdatum)</w:t>
      </w:r>
    </w:p>
    <w:p>
      <w:r>
        <w:t xml:space="preserve">(1) Wird von dem Kommissionär ohne Zustimmung des Kommittenten einem Dritten ein Vorschuß geleistet oder Kredit gewährt, so handelt der Kommissionär auf eigene Gefahr.</w:t>
      </w:r>
    </w:p>
    <w:p>
      <w:r>
        <w:t xml:space="preserve">(2) Insoweit jedoch der Handelsgebrauch am Orte des Geschäfts die Stundung des Kaufpreises mit sich bringt, ist in Ermangelung einer anderen Bestimmung des Kommittenten auch der Kommissionär dazu berechtigt.</w:t>
      </w:r>
    </w:p>
    <w:p>
      <w:r>
        <w:t xml:space="preserve">(3) Verkauft der Kommissionär unbefugt auf Kredit, so ist er verpflichtet, dem Kommittenten sofort als Schuldner des Kaufpreises die Zahlung zu leisten. Wäre beim Verkaufe gegen bar der Preis geringer gewesen, so hat der Kommissionär nur den geringeren Preis und, wenn dieser niedriger ist als der ihm gesetzte Preis, auch den Unterschied nach § 386 zu vergüten.</w:t>
      </w:r>
    </w:p>
    <w:p>
      <w:r>
        <w:rPr>
          <w:color w:val="555555"/>
          <w:sz w:val="17"/>
        </w:rPr>
        <w:t xml:space="preserve">Zitiervorschlag: § 393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