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392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Forderungen aus einem Geschäfte, das der Kommissionär abgeschlossen hat, kann der Kommittent dem Schuldner gegenüber erst nach der Abtretung geltend machen.</w:t>
      </w:r>
    </w:p>
    <w:p>
      <w:r>
        <w:t xml:space="preserve">(2) Jedoch gelten solche Forderungen, auch wenn sie nicht abgetreten sind, im Verhältnisse zwischen dem Kommittenten und dem Kommissionär oder dessen Gläubigern als Forderungen des Kommittenten.</w:t>
      </w:r>
    </w:p>
    <w:p>
      <w:r>
        <w:rPr>
          <w:color w:val="555555"/>
          <w:sz w:val="17"/>
        </w:rPr>
        <w:t xml:space="preserve">Zitiervorschlag: § 392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