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388 HGB</w:t>
      </w:r>
    </w:p>
    <w:p>
      <w:r>
        <w:rPr>
          <w:color w:val="555555"/>
          <w:sz w:val="18"/>
        </w:rPr>
        <w:t xml:space="preserve">Handelsgesetzbuch</w:t>
      </w:r>
    </w:p>
    <w:p>
      <w:r>
        <w:rPr>
          <w:color w:val="555555"/>
          <w:sz w:val="18"/>
        </w:rPr>
        <w:t xml:space="preserve">Stand: 14.10.2023 (konsolidierte Textfassung, kein amtliches Inkrafttretensdatum)</w:t>
      </w:r>
    </w:p>
    <w:p>
      <w:r>
        <w:t xml:space="preserve">(1) Befindet sich das Gut, welches dem Kommissionär zugesendet ist, bei der Ablieferung in einem beschädigten oder mangelhaften Zustande, der äußerlich erkennbar ist, so hat der Kommissionär die Rechte gegen den Frachtführer oder Schiffer zu wahren, für den Beweis des Zustandes zu sorgen und dem Kommittenten unverzüglich Nachricht zu geben; im Falle der Unterlassung ist er zum Schadensersatze verpflichtet.</w:t>
      </w:r>
    </w:p>
    <w:p>
      <w:r>
        <w:t xml:space="preserve">(2) Ist das Gut dem Verderb ausgesetzt oder treten später Veränderungen an dem Gute ein, die dessen Entwertung befürchten lassen, und ist keine Zeit vorhanden, die Verfügung des Kommittenten einzuholen, oder ist der Kommittent in der Erteilung der Verfügung säumig, so kann der Kommissionär den Verkauf des Gutes nach Maßgabe der Vorschriften des § 373 bewirken.</w:t>
      </w:r>
    </w:p>
    <w:p>
      <w:r>
        <w:rPr>
          <w:color w:val="555555"/>
          <w:sz w:val="17"/>
        </w:rPr>
        <w:t xml:space="preserve">Zitiervorschlag: § 388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