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385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Handelt der Kommissionär nicht gemäß den Weisungen des Kommittenten, so ist er diesem zum Ersatze des Schadens verpflichtet; der Kommittent braucht das Geschäft nicht für seine Rechnung gelten zu lassen.</w:t>
      </w:r>
    </w:p>
    <w:p>
      <w:r>
        <w:t xml:space="preserve">(2) Die Vorschriften des § 665 des Bürgerlichen Gesetzbuchs bleiben unberührt.</w:t>
      </w:r>
    </w:p>
    <w:p>
      <w:r>
        <w:rPr>
          <w:color w:val="555555"/>
          <w:sz w:val="17"/>
        </w:rPr>
        <w:t xml:space="preserve">Zitiervorschlag: § 385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https://recht.nulegal.eu/gesetze/HGB/385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