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379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der Kauf für beide Teile ein Handelsgeschäft, so ist der Käufer, wenn er die ihm von einem anderen Orte übersendete Ware beanstandet, verpflichtet, für ihre einstweilige Aufbewahrung zu sorgen.</w:t>
      </w:r>
    </w:p>
    <w:p>
      <w:r>
        <w:t xml:space="preserve">(2) Er kann die Ware, wenn sie dem Verderb ausgesetzt und Gefahr im Verzug ist, unter Beobachtung der Vorschriften des § 373 verkaufen lassen.</w:t>
      </w:r>
    </w:p>
    <w:p>
      <w:r>
        <w:rPr>
          <w:color w:val="555555"/>
          <w:sz w:val="17"/>
        </w:rPr>
        <w:t xml:space="preserve">Zitiervorschlag: § 379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https://recht.nulegal.eu/gesetze/HGB/379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