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373 HGB</w:t>
      </w:r>
    </w:p>
    <w:p>
      <w:r>
        <w:rPr>
          <w:color w:val="555555"/>
          <w:sz w:val="18"/>
        </w:rPr>
        <w:t xml:space="preserve">Handelsgesetzbuch</w:t>
      </w:r>
    </w:p>
    <w:p>
      <w:r>
        <w:rPr>
          <w:color w:val="555555"/>
          <w:sz w:val="18"/>
        </w:rPr>
        <w:t xml:space="preserve">Stand: 01.01.2025 (konsolidierte Textfassung, kein amtliches Inkrafttretensdatum)</w:t>
      </w:r>
    </w:p>
    <w:p>
      <w:r>
        <w:t xml:space="preserve">(1) Ist der Käufer mit der Annahme der Ware im Verzuge, so kann der Verkäufer die Ware auf Gefahr und Kosten des Käufers in einem öffentlichen Lagerhaus oder sonst in sicherer Weise hinterlegen.</w:t>
      </w:r>
    </w:p>
    <w:p>
      <w:r>
        <w:t xml:space="preserve">(2) Er ist ferner befugt, nach vorgängiger Androhung die Ware öffentlich versteigern zu lassen; er kann, wenn die Ware einen Börsen- oder Marktpreis hat, nach vorgängiger Androhung den Verkauf auch aus freier Hand durch einen zu solchen Verkäufen öffentlich ermächtigten Handelsmakler oder durch eine zur öffentlichen Versteigerung befugte Person zum laufenden Preise bewirken. Ist die Ware dem Verderb ausgesetzt und Gefahr im Verzuge, so bedarf es der vorgängigen Androhung nicht; dasselbe gilt, wenn die Androhung aus anderen Gründen untunlich ist.</w:t>
      </w:r>
    </w:p>
    <w:p>
      <w:r>
        <w:t xml:space="preserve">(3) Der Selbsthilfeverkauf erfolgt für Rechnung des säumigen Käufers.</w:t>
      </w:r>
    </w:p>
    <w:p>
      <w:r>
        <w:t xml:space="preserve">(4) Der Verkäufer und der Käufer können bei der öffentlichen Versteigerung mitbieten.</w:t>
      </w:r>
    </w:p>
    <w:p>
      <w:r>
        <w:t xml:space="preserve">(5) Im Falle der öffentlichen Versteigerung hat der Verkäufer dem Käufer die in § 383 Absatz 3 Nummer 1 bis 3 des Bürgerlichen Gesetzbuchs bezeichneten Informationen vorher mitzuteilen; von dem vollzogenen Verkaufe hat er bei jeder Art des Verkaufs dem Käufer unverzüglich Nachricht zu geben. Im Falle der Unterlassung ist er zum Schadensersatze verpflichtet. Die Benachrichtigungen dürfen unterbleiben, wenn sie untunlich sind.</w:t>
      </w:r>
    </w:p>
    <w:p>
      <w:r>
        <w:rPr>
          <w:color w:val="555555"/>
          <w:sz w:val="17"/>
        </w:rPr>
        <w:t xml:space="preserve">Zitiervorschlag: § 373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