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372 HGB</w:t>
      </w:r>
    </w:p>
    <w:p>
      <w:r>
        <w:rPr>
          <w:color w:val="555555"/>
          <w:sz w:val="18"/>
        </w:rPr>
        <w:t xml:space="preserve">Handelsgesetzbuch</w:t>
      </w:r>
    </w:p>
    <w:p>
      <w:r>
        <w:rPr>
          <w:color w:val="555555"/>
          <w:sz w:val="18"/>
        </w:rPr>
        <w:t xml:space="preserve">Stand: 14.10.2023 (konsolidierte Textfassung, kein amtliches Inkrafttretensdatum)</w:t>
      </w:r>
    </w:p>
    <w:p>
      <w:r>
        <w:t xml:space="preserve">(1) In Ansehung der Befriedigung aus dem zurückbehaltenen Gegenstande gilt zugunsten des Gläubigers der Schuldner, sofern er bei dem Besitzerwerbe des Gläubigers der Eigentümer des Gegenstandes war, auch weiter als Eigentümer, sofern nicht der Gläubiger weiß, daß der Schuldner nicht mehr Eigentümer ist.</w:t>
      </w:r>
    </w:p>
    <w:p>
      <w:r>
        <w:t xml:space="preserve">(2) Erwirbt ein Dritter nach dem Besitzerwerbe des Gläubigers von dem Schuldner das Eigentum, so muß er ein rechtskräftiges Urteil, das in einem zwischen dem Gläubiger und dem Schuldner wegen Gestattung der Befriedigung geführten Rechtsstreit ergangen ist, gegen sich gelten lassen, sofern nicht der Gläubiger bei dem Eintritte der Rechtshängigkeit gewußt hat, daß der Schuldner nicht mehr Eigentümer war.</w:t>
      </w:r>
    </w:p>
    <w:p>
      <w:r>
        <w:rPr>
          <w:color w:val="555555"/>
          <w:sz w:val="17"/>
        </w:rPr>
        <w:t xml:space="preserve">Zitiervorschlag: § 372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