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371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Gläubiger ist kraft des Zurückbehaltungsrechts befugt, sich aus dem zurückbehaltenen Gegenstande für seine Forderung zu befriedigen. Steht einem Dritten ein Recht an dem Gegenstande zu, gegen welches das Zurückbehaltungsrecht nach § 369 Abs. 2 geltend gemacht werden kann, so hat der Gläubiger in Ansehung der Befriedigung aus dem Gegenstande den Vorrang.</w:t>
      </w:r>
    </w:p>
    <w:p>
      <w:r>
        <w:t xml:space="preserve">(2) Die Befriedigung erfolgt nach den für das Pfandrecht geltenden Vorschriften des Bürgerlichen Gesetzbuchs. An die Stelle der in § 1234 des Bürgerlichen Gesetzbuchs bestimmten Frist von einem Monate tritt eine solche von einer Woche.</w:t>
      </w:r>
    </w:p>
    <w:p>
      <w:r>
        <w:t xml:space="preserve">(3) Sofern die Befriedigung nicht im Wege der Zwangsvollstreckung stattfindet, ist sie erst zulässig, nachdem der Gläubiger einen vollstreckbaren Titel für sein Recht auf Befriedigung gegen den Eigentümer oder, wenn der Gegenstand ihm selbst gehört, gegen den Schuldner erlangt hat; in dem letzteren Falle finden die den Eigentümer betreffenden Vorschriften des Bürgerlichen Gesetzbuchs über die Befriedigung auf den Schuldner entsprechende Anwendung. In Ermangelung des vollstreckbaren Titels ist der Verkauf des Gegenstandes nicht rechtmäßig.</w:t>
      </w:r>
    </w:p>
    <w:p>
      <w:r>
        <w:t xml:space="preserve">(4) Die Klage auf Gestattung der Befriedigung kann bei dem Gericht, in dessen Bezirke der Gläubiger seinen allgemeinen Gerichtsstand oder den Gerichtsstand der Niederlassung hat, erhoben werden.</w:t>
      </w:r>
    </w:p>
    <w:p>
      <w:r>
        <w:rPr>
          <w:color w:val="555555"/>
          <w:sz w:val="17"/>
        </w:rPr>
        <w:t xml:space="preserve">Zitiervorschlag: § 371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